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0A38" w14:textId="1FAE1A7E" w:rsidR="00B16FE4" w:rsidRPr="00B16FE4" w:rsidRDefault="00B16FE4" w:rsidP="00B16FE4">
      <w:pPr>
        <w:spacing w:line="360" w:lineRule="auto"/>
        <w:ind w:firstLine="560"/>
        <w:rPr>
          <w:rFonts w:ascii="宋体" w:eastAsia="宋体" w:hAnsi="宋体"/>
          <w:b/>
          <w:color w:val="000000"/>
          <w:sz w:val="36"/>
          <w:szCs w:val="36"/>
        </w:rPr>
      </w:pPr>
      <w:r w:rsidRPr="00B16FE4">
        <w:rPr>
          <w:rFonts w:ascii="宋体" w:eastAsia="宋体" w:hAnsi="宋体" w:hint="eastAsia"/>
          <w:b/>
          <w:color w:val="000000"/>
          <w:sz w:val="36"/>
          <w:szCs w:val="36"/>
        </w:rPr>
        <w:t>产品介绍</w:t>
      </w:r>
    </w:p>
    <w:p w14:paraId="429AECF4" w14:textId="057BCC30" w:rsidR="00B16FE4" w:rsidRDefault="00B16FE4" w:rsidP="00B16FE4">
      <w:pPr>
        <w:spacing w:line="360" w:lineRule="auto"/>
        <w:ind w:firstLine="560"/>
        <w:rPr>
          <w:rFonts w:ascii="宋体" w:eastAsia="宋体" w:hAnsi="宋体"/>
          <w:color w:val="000000"/>
          <w:sz w:val="28"/>
          <w:szCs w:val="28"/>
        </w:rPr>
      </w:pPr>
      <w:r>
        <w:rPr>
          <w:rFonts w:ascii="宋体" w:eastAsia="宋体" w:hAnsi="宋体"/>
          <w:color w:val="000000"/>
          <w:sz w:val="28"/>
          <w:szCs w:val="28"/>
        </w:rPr>
        <w:t>检察机关大数据平台，以检察院现有数据为依托，实现采集、清洗、转换基础数据，建立面向大数据应用的主题数据仓库；以数据仓库为基石，存储、分类整理检察院系统主题应用数据；以大平台为底层支撑，查询、统计、分析、计算各类数据，形成大应用系统；以大数据可视化平台为手段，从服务于人民群众、服务于司法监督、服务于司法管理的多角度图形化体现大数据的价值；以数据实时复制技术为基础，实现二级检察院业务系统数据实时汇入高级检察院数据中心数据库，解决数据实时性问题；同时依职权向有关单位各种类型的数据从数据源采集并接入检察院的数据中心，整合各相关部门信息系统的数据，实现统一的加工、处理与管理；获取有价值的案件执行线索。</w:t>
      </w:r>
    </w:p>
    <w:p w14:paraId="789145E1" w14:textId="6A2D658D" w:rsidR="00B16FE4" w:rsidRPr="00B16FE4" w:rsidRDefault="00B16FE4" w:rsidP="00B16FE4">
      <w:pPr>
        <w:spacing w:line="360" w:lineRule="auto"/>
        <w:ind w:firstLine="560"/>
        <w:rPr>
          <w:rFonts w:ascii="宋体" w:eastAsia="宋体" w:hAnsi="宋体"/>
          <w:b/>
          <w:color w:val="000000"/>
          <w:sz w:val="36"/>
          <w:szCs w:val="36"/>
        </w:rPr>
      </w:pPr>
      <w:r w:rsidRPr="00B16FE4">
        <w:rPr>
          <w:rFonts w:ascii="宋体" w:eastAsia="宋体" w:hAnsi="宋体" w:hint="eastAsia"/>
          <w:b/>
          <w:color w:val="000000"/>
          <w:sz w:val="36"/>
          <w:szCs w:val="36"/>
        </w:rPr>
        <w:t>产品功能</w:t>
      </w:r>
      <w:r>
        <w:rPr>
          <w:rFonts w:ascii="宋体" w:eastAsia="宋体" w:hAnsi="宋体" w:hint="eastAsia"/>
          <w:b/>
          <w:color w:val="000000"/>
          <w:sz w:val="36"/>
          <w:szCs w:val="36"/>
        </w:rPr>
        <w:t>及产品应用效果</w:t>
      </w:r>
    </w:p>
    <w:p w14:paraId="0EEBA01E" w14:textId="6A9DBC2B" w:rsidR="00B16FE4" w:rsidRDefault="00B16FE4" w:rsidP="00B16FE4">
      <w:pPr>
        <w:pStyle w:val="a7"/>
        <w:numPr>
          <w:ilvl w:val="0"/>
          <w:numId w:val="1"/>
        </w:numPr>
        <w:spacing w:line="360" w:lineRule="auto"/>
        <w:ind w:firstLineChars="0"/>
        <w:rPr>
          <w:b/>
          <w:sz w:val="28"/>
          <w:szCs w:val="28"/>
        </w:rPr>
      </w:pPr>
      <w:r w:rsidRPr="00B16FE4">
        <w:rPr>
          <w:b/>
          <w:sz w:val="28"/>
          <w:szCs w:val="28"/>
        </w:rPr>
        <w:t>可视化服务驾驶舱</w:t>
      </w:r>
    </w:p>
    <w:p w14:paraId="4048B7AE" w14:textId="06CF4172" w:rsidR="00B16FE4" w:rsidRPr="00B16FE4" w:rsidRDefault="00B16FE4" w:rsidP="00B16FE4">
      <w:pPr>
        <w:spacing w:line="360" w:lineRule="auto"/>
        <w:ind w:firstLine="560"/>
        <w:rPr>
          <w:rFonts w:ascii="宋体" w:eastAsia="宋体" w:hAnsi="宋体"/>
          <w:color w:val="000000"/>
          <w:sz w:val="28"/>
          <w:szCs w:val="28"/>
        </w:rPr>
      </w:pPr>
      <w:r>
        <w:rPr>
          <w:rFonts w:ascii="宋体" w:eastAsia="宋体" w:hAnsi="宋体"/>
          <w:color w:val="000000"/>
          <w:sz w:val="28"/>
          <w:szCs w:val="28"/>
        </w:rPr>
        <w:t>以驾驶舱的形式，通过梳理检务工作的各项指标，使用各种常见的图表（仪表盘、柱形图、折线图、环形图、趋势图、预警雷达等）形象展现检察业务的关键指标（KPI）,支持“钻取式查询”，可以实现对指标的逐层细化、深化分析，将采集的数据形象化、直观化、具体化，能够通过驾驶舱提供智能决策支持。</w:t>
      </w:r>
    </w:p>
    <w:p w14:paraId="19F78C5A" w14:textId="0A1489AE" w:rsidR="00B16FE4" w:rsidRDefault="00B16FE4" w:rsidP="00B16FE4">
      <w:pPr>
        <w:pStyle w:val="a7"/>
        <w:numPr>
          <w:ilvl w:val="0"/>
          <w:numId w:val="1"/>
        </w:numPr>
        <w:spacing w:line="360" w:lineRule="auto"/>
        <w:ind w:firstLineChars="0"/>
        <w:rPr>
          <w:b/>
          <w:sz w:val="28"/>
          <w:szCs w:val="28"/>
        </w:rPr>
      </w:pPr>
      <w:r w:rsidRPr="00B16FE4">
        <w:rPr>
          <w:b/>
          <w:sz w:val="28"/>
          <w:szCs w:val="28"/>
        </w:rPr>
        <w:t>检察院态势分析</w:t>
      </w:r>
    </w:p>
    <w:p w14:paraId="50F29760" w14:textId="4C9C55AB" w:rsidR="00B16FE4" w:rsidRPr="00B16FE4" w:rsidRDefault="00B16FE4" w:rsidP="00B16FE4">
      <w:pPr>
        <w:spacing w:line="360" w:lineRule="auto"/>
        <w:ind w:firstLine="560"/>
        <w:rPr>
          <w:rFonts w:ascii="宋体" w:eastAsia="宋体" w:hAnsi="宋体"/>
          <w:color w:val="000000"/>
          <w:sz w:val="28"/>
          <w:szCs w:val="28"/>
        </w:rPr>
      </w:pPr>
      <w:r>
        <w:rPr>
          <w:rFonts w:ascii="宋体" w:eastAsia="宋体" w:hAnsi="宋体"/>
          <w:color w:val="000000"/>
          <w:sz w:val="28"/>
          <w:szCs w:val="28"/>
        </w:rPr>
        <w:t>通过对整个检察院的态势进行分析，检察态势分析包括：案件受理趋势分析、案件分析、案件受理分析、案件类型分析、重点犯罪类型分析以及历年案件受理分析等。对日常检察工作态势进行动态监控，</w:t>
      </w:r>
      <w:r>
        <w:rPr>
          <w:rFonts w:ascii="宋体" w:eastAsia="宋体" w:hAnsi="宋体"/>
          <w:color w:val="000000"/>
          <w:sz w:val="28"/>
          <w:szCs w:val="28"/>
        </w:rPr>
        <w:lastRenderedPageBreak/>
        <w:t>帮助院领导及时了解检察工作整体情况，洞察检察态势，合理进行宏观布局。</w:t>
      </w:r>
    </w:p>
    <w:p w14:paraId="327F07B4" w14:textId="248F66F3" w:rsidR="00B16FE4" w:rsidRDefault="00B16FE4" w:rsidP="00B16FE4">
      <w:pPr>
        <w:pStyle w:val="a7"/>
        <w:numPr>
          <w:ilvl w:val="0"/>
          <w:numId w:val="1"/>
        </w:numPr>
        <w:spacing w:line="360" w:lineRule="auto"/>
        <w:ind w:firstLineChars="0"/>
        <w:rPr>
          <w:b/>
          <w:sz w:val="28"/>
          <w:szCs w:val="28"/>
        </w:rPr>
      </w:pPr>
      <w:r w:rsidRPr="00B16FE4">
        <w:rPr>
          <w:b/>
          <w:sz w:val="28"/>
          <w:szCs w:val="28"/>
        </w:rPr>
        <w:t>法办案综合展示</w:t>
      </w:r>
    </w:p>
    <w:p w14:paraId="6190A148" w14:textId="4DC01B5C" w:rsidR="00B16FE4" w:rsidRPr="00B16FE4" w:rsidRDefault="00B16FE4" w:rsidP="00B16FE4">
      <w:pPr>
        <w:spacing w:line="360" w:lineRule="auto"/>
        <w:ind w:firstLine="560"/>
        <w:rPr>
          <w:rFonts w:ascii="宋体" w:eastAsia="宋体" w:hAnsi="宋体"/>
          <w:color w:val="000000"/>
          <w:sz w:val="28"/>
          <w:szCs w:val="28"/>
        </w:rPr>
      </w:pPr>
      <w:r w:rsidRPr="00B16FE4">
        <w:rPr>
          <w:rFonts w:ascii="宋体" w:eastAsia="宋体" w:hAnsi="宋体"/>
          <w:color w:val="000000"/>
          <w:sz w:val="28"/>
          <w:szCs w:val="28"/>
        </w:rPr>
        <w:t>通过构建司法办案综合展示可视化服务页面，将统计系统、执检系统、检委会系统以及大数据决策分析系统等统一业务应用软件中的司法办案各个业务条线进行纵向归纳，涵盖相关业务数据，如未检、公诉、民行、公益诉讼等。</w:t>
      </w:r>
    </w:p>
    <w:p w14:paraId="16C8AAB3" w14:textId="379E4989" w:rsidR="00B16FE4" w:rsidRPr="00857D34" w:rsidRDefault="00B16FE4" w:rsidP="00857D34">
      <w:pPr>
        <w:spacing w:line="360" w:lineRule="auto"/>
        <w:ind w:firstLine="560"/>
        <w:rPr>
          <w:rFonts w:ascii="宋体" w:eastAsia="宋体" w:hAnsi="宋体" w:hint="eastAsia"/>
          <w:color w:val="000000"/>
          <w:sz w:val="28"/>
          <w:szCs w:val="28"/>
        </w:rPr>
      </w:pPr>
      <w:r>
        <w:rPr>
          <w:rFonts w:ascii="宋体" w:eastAsia="宋体" w:hAnsi="宋体"/>
          <w:color w:val="000000"/>
          <w:sz w:val="28"/>
          <w:szCs w:val="28"/>
        </w:rPr>
        <w:t>数据业务指标包括受理案件的数量、涉案人数、受理审查逮捕案件数、受理审查逮捕案件类型等。</w:t>
      </w:r>
    </w:p>
    <w:p w14:paraId="08851BB6" w14:textId="7DB664B7" w:rsidR="00B16FE4" w:rsidRDefault="00B16FE4" w:rsidP="00B16FE4">
      <w:pPr>
        <w:pStyle w:val="a7"/>
        <w:numPr>
          <w:ilvl w:val="0"/>
          <w:numId w:val="1"/>
        </w:numPr>
        <w:spacing w:line="360" w:lineRule="auto"/>
        <w:ind w:firstLineChars="0"/>
        <w:rPr>
          <w:b/>
          <w:sz w:val="28"/>
          <w:szCs w:val="28"/>
        </w:rPr>
      </w:pPr>
      <w:r w:rsidRPr="00B16FE4">
        <w:rPr>
          <w:b/>
          <w:sz w:val="28"/>
          <w:szCs w:val="28"/>
        </w:rPr>
        <w:t>分析决策可视化</w:t>
      </w:r>
    </w:p>
    <w:p w14:paraId="5942B152" w14:textId="4E8C519C" w:rsidR="00B16FE4" w:rsidRPr="00B16FE4" w:rsidRDefault="00B16FE4" w:rsidP="00B16FE4">
      <w:pPr>
        <w:spacing w:line="360" w:lineRule="auto"/>
        <w:ind w:firstLine="560"/>
        <w:rPr>
          <w:rFonts w:ascii="宋体" w:eastAsia="宋体" w:hAnsi="宋体"/>
          <w:color w:val="000000"/>
          <w:sz w:val="28"/>
          <w:szCs w:val="28"/>
        </w:rPr>
      </w:pPr>
      <w:r>
        <w:rPr>
          <w:rFonts w:ascii="宋体" w:eastAsia="宋体" w:hAnsi="宋体"/>
          <w:color w:val="000000"/>
          <w:sz w:val="28"/>
          <w:szCs w:val="28"/>
        </w:rPr>
        <w:t>通过大数据技术，提供检务决策分析、数据图表展示、办案期限监督，便于领导对检察业务信息的了解，加强对检察业务的决策分析处理综合能力，建立以知识为中心的人工智能辅助决策体系，依靠大数据科学决策。</w:t>
      </w:r>
    </w:p>
    <w:p w14:paraId="200B0D30" w14:textId="78C17296" w:rsidR="00B16FE4" w:rsidRPr="00B16FE4" w:rsidRDefault="00B16FE4" w:rsidP="00B16FE4">
      <w:pPr>
        <w:pStyle w:val="a7"/>
        <w:numPr>
          <w:ilvl w:val="0"/>
          <w:numId w:val="1"/>
        </w:numPr>
        <w:spacing w:line="360" w:lineRule="auto"/>
        <w:ind w:firstLineChars="0"/>
        <w:rPr>
          <w:b/>
          <w:sz w:val="28"/>
          <w:szCs w:val="28"/>
        </w:rPr>
      </w:pPr>
      <w:r w:rsidRPr="00B16FE4">
        <w:rPr>
          <w:b/>
          <w:sz w:val="28"/>
          <w:szCs w:val="28"/>
        </w:rPr>
        <w:t>检务公开可视化</w:t>
      </w:r>
    </w:p>
    <w:p w14:paraId="369E0FA2" w14:textId="7823A051" w:rsidR="00B16FE4" w:rsidRPr="00B16FE4" w:rsidRDefault="00B16FE4" w:rsidP="00B16FE4">
      <w:pPr>
        <w:spacing w:line="360" w:lineRule="auto"/>
        <w:ind w:firstLine="560"/>
        <w:rPr>
          <w:rFonts w:ascii="宋体" w:eastAsia="宋体" w:hAnsi="宋体"/>
          <w:color w:val="000000"/>
          <w:sz w:val="28"/>
          <w:szCs w:val="28"/>
        </w:rPr>
      </w:pPr>
      <w:r w:rsidRPr="00B16FE4">
        <w:rPr>
          <w:rFonts w:ascii="宋体" w:eastAsia="宋体" w:hAnsi="宋体"/>
          <w:color w:val="000000"/>
          <w:sz w:val="28"/>
          <w:szCs w:val="28"/>
        </w:rPr>
        <w:t>确保符合公开条件的案件全部及时向公众发布，审视和改进检察服务，便于领导对检务公开服务信息的了解，加强对检务公开服务的分析处理能力。</w:t>
      </w:r>
    </w:p>
    <w:p w14:paraId="68CA865A" w14:textId="77777777" w:rsidR="00B16FE4" w:rsidRPr="00B16FE4" w:rsidRDefault="00B16FE4" w:rsidP="00B16FE4">
      <w:pPr>
        <w:spacing w:line="360" w:lineRule="auto"/>
        <w:ind w:firstLine="560"/>
        <w:rPr>
          <w:rFonts w:ascii="宋体" w:eastAsia="宋体" w:hAnsi="宋体"/>
          <w:color w:val="000000"/>
          <w:sz w:val="28"/>
          <w:szCs w:val="28"/>
        </w:rPr>
      </w:pPr>
      <w:r w:rsidRPr="00B16FE4">
        <w:rPr>
          <w:rFonts w:ascii="宋体" w:eastAsia="宋体" w:hAnsi="宋体"/>
          <w:color w:val="000000"/>
          <w:sz w:val="28"/>
          <w:szCs w:val="28"/>
        </w:rPr>
        <w:t>梳理受理控告申诉、国家赔偿、司法救助、刑事诉讼监督的各项指标，实现各关键维度的数据展示。</w:t>
      </w:r>
    </w:p>
    <w:p w14:paraId="34D2A5D0" w14:textId="237FC2AC" w:rsidR="00DA00DB" w:rsidRDefault="00B16FE4" w:rsidP="00B16FE4">
      <w:pPr>
        <w:spacing w:line="360" w:lineRule="auto"/>
        <w:ind w:firstLine="560"/>
        <w:rPr>
          <w:rFonts w:ascii="宋体" w:eastAsia="宋体" w:hAnsi="宋体"/>
          <w:color w:val="000000"/>
          <w:sz w:val="28"/>
          <w:szCs w:val="28"/>
        </w:rPr>
      </w:pPr>
      <w:r w:rsidRPr="00B16FE4">
        <w:rPr>
          <w:rFonts w:ascii="宋体" w:eastAsia="宋体" w:hAnsi="宋体"/>
          <w:color w:val="000000"/>
          <w:sz w:val="28"/>
          <w:szCs w:val="28"/>
        </w:rPr>
        <w:t>整理受</w:t>
      </w:r>
      <w:bookmarkStart w:id="0" w:name="_GoBack"/>
      <w:bookmarkEnd w:id="0"/>
      <w:r w:rsidRPr="00B16FE4">
        <w:rPr>
          <w:rFonts w:ascii="宋体" w:eastAsia="宋体" w:hAnsi="宋体"/>
          <w:color w:val="000000"/>
          <w:sz w:val="28"/>
          <w:szCs w:val="28"/>
        </w:rPr>
        <w:t>理来信、来访，承办涉及刑事问题的控告、举报、申诉、自首的案件、刑事赔偿案件和符合规定的其他事项的数据指标，实现</w:t>
      </w:r>
      <w:r w:rsidRPr="00B16FE4">
        <w:rPr>
          <w:rFonts w:ascii="宋体" w:eastAsia="宋体" w:hAnsi="宋体"/>
          <w:color w:val="000000"/>
          <w:sz w:val="28"/>
          <w:szCs w:val="28"/>
        </w:rPr>
        <w:lastRenderedPageBreak/>
        <w:t>数据的综合展示。</w:t>
      </w:r>
    </w:p>
    <w:p w14:paraId="775C032B" w14:textId="7947C4FF" w:rsidR="00580269" w:rsidRPr="005A7937" w:rsidRDefault="00580269" w:rsidP="00B16FE4">
      <w:pPr>
        <w:spacing w:line="360" w:lineRule="auto"/>
        <w:ind w:firstLine="560"/>
        <w:rPr>
          <w:rFonts w:ascii="宋体" w:eastAsia="宋体" w:hAnsi="宋体"/>
          <w:b/>
          <w:color w:val="000000"/>
          <w:sz w:val="36"/>
          <w:szCs w:val="36"/>
        </w:rPr>
      </w:pPr>
      <w:r w:rsidRPr="005A7937">
        <w:rPr>
          <w:rFonts w:ascii="宋体" w:eastAsia="宋体" w:hAnsi="宋体" w:hint="eastAsia"/>
          <w:b/>
          <w:color w:val="000000"/>
          <w:sz w:val="36"/>
          <w:szCs w:val="36"/>
        </w:rPr>
        <w:t>产品价值</w:t>
      </w:r>
    </w:p>
    <w:p w14:paraId="0C54F0BA" w14:textId="44E80C8E" w:rsidR="00580269" w:rsidRPr="00580269" w:rsidRDefault="00580269" w:rsidP="00580269">
      <w:pPr>
        <w:pStyle w:val="a7"/>
        <w:numPr>
          <w:ilvl w:val="0"/>
          <w:numId w:val="3"/>
        </w:numPr>
        <w:ind w:left="0" w:firstLine="562"/>
        <w:rPr>
          <w:rFonts w:ascii="宋体" w:eastAsia="宋体" w:hAnsi="宋体"/>
          <w:b/>
          <w:bCs/>
          <w:color w:val="000000"/>
          <w:sz w:val="28"/>
          <w:szCs w:val="28"/>
        </w:rPr>
      </w:pPr>
      <w:r w:rsidRPr="00580269">
        <w:rPr>
          <w:rFonts w:ascii="宋体" w:eastAsia="宋体" w:hAnsi="宋体"/>
          <w:b/>
          <w:bCs/>
          <w:color w:val="000000"/>
          <w:sz w:val="28"/>
          <w:szCs w:val="28"/>
        </w:rPr>
        <w:t>推动务实发展。</w:t>
      </w:r>
    </w:p>
    <w:p w14:paraId="288D4E87" w14:textId="77777777" w:rsidR="00580269" w:rsidRDefault="00580269" w:rsidP="00580269">
      <w:pPr>
        <w:spacing w:line="360" w:lineRule="auto"/>
        <w:ind w:firstLine="560"/>
        <w:rPr>
          <w:rFonts w:ascii="宋体" w:eastAsia="宋体" w:hAnsi="宋体"/>
          <w:color w:val="000000"/>
          <w:sz w:val="28"/>
          <w:szCs w:val="28"/>
        </w:rPr>
      </w:pPr>
      <w:r>
        <w:rPr>
          <w:rFonts w:ascii="宋体" w:eastAsia="宋体" w:hAnsi="宋体"/>
          <w:color w:val="000000"/>
          <w:sz w:val="28"/>
          <w:szCs w:val="28"/>
        </w:rPr>
        <w:t>深入挖掘检察机关大数据应用需求，统筹规划、加快推进各业务条的大数据应用，推动检察机关各项工作科学发展。</w:t>
      </w:r>
    </w:p>
    <w:p w14:paraId="500A5288" w14:textId="77777777" w:rsidR="00580269" w:rsidRDefault="00580269" w:rsidP="00580269">
      <w:pPr>
        <w:pStyle w:val="a7"/>
        <w:numPr>
          <w:ilvl w:val="0"/>
          <w:numId w:val="3"/>
        </w:numPr>
        <w:ind w:left="0" w:firstLine="562"/>
        <w:rPr>
          <w:rFonts w:ascii="宋体" w:eastAsia="宋体" w:hAnsi="宋体"/>
          <w:b/>
          <w:bCs/>
          <w:color w:val="000000"/>
          <w:sz w:val="28"/>
          <w:szCs w:val="28"/>
        </w:rPr>
      </w:pPr>
      <w:r>
        <w:rPr>
          <w:rFonts w:ascii="宋体" w:eastAsia="宋体" w:hAnsi="宋体"/>
          <w:b/>
          <w:bCs/>
          <w:color w:val="000000"/>
          <w:sz w:val="28"/>
          <w:szCs w:val="28"/>
        </w:rPr>
        <w:t>统筹生态发展</w:t>
      </w:r>
    </w:p>
    <w:p w14:paraId="370CFBCE" w14:textId="77777777" w:rsidR="00580269" w:rsidRDefault="00580269" w:rsidP="00580269">
      <w:pPr>
        <w:spacing w:line="360" w:lineRule="auto"/>
        <w:ind w:firstLine="560"/>
        <w:rPr>
          <w:rFonts w:ascii="宋体" w:eastAsia="宋体" w:hAnsi="宋体"/>
          <w:color w:val="000000"/>
          <w:sz w:val="28"/>
          <w:szCs w:val="28"/>
        </w:rPr>
      </w:pPr>
      <w:r>
        <w:rPr>
          <w:rFonts w:ascii="宋体" w:eastAsia="宋体" w:hAnsi="宋体"/>
          <w:color w:val="000000"/>
          <w:sz w:val="28"/>
          <w:szCs w:val="28"/>
        </w:rPr>
        <w:t>统筹大数据技术在检察工作中的应用，建立全维的检察大数据建设和应用效能评价机制；推动解决共性、专用技术，推进应用系统建设；统筹产、学、研、用多方力量联合创新，促进检察大数据生态链构建。</w:t>
      </w:r>
    </w:p>
    <w:p w14:paraId="0824E3DB" w14:textId="77777777" w:rsidR="00580269" w:rsidRDefault="00580269" w:rsidP="00580269">
      <w:pPr>
        <w:pStyle w:val="a7"/>
        <w:numPr>
          <w:ilvl w:val="0"/>
          <w:numId w:val="3"/>
        </w:numPr>
        <w:ind w:left="0" w:firstLine="562"/>
        <w:rPr>
          <w:rFonts w:ascii="宋体" w:eastAsia="宋体" w:hAnsi="宋体"/>
          <w:b/>
          <w:bCs/>
          <w:color w:val="000000"/>
          <w:sz w:val="28"/>
          <w:szCs w:val="28"/>
        </w:rPr>
      </w:pPr>
      <w:r>
        <w:rPr>
          <w:rFonts w:ascii="宋体" w:eastAsia="宋体" w:hAnsi="宋体"/>
          <w:b/>
          <w:bCs/>
          <w:color w:val="000000"/>
          <w:sz w:val="28"/>
          <w:szCs w:val="28"/>
        </w:rPr>
        <w:t>带动跨越发展</w:t>
      </w:r>
    </w:p>
    <w:p w14:paraId="0A46101E" w14:textId="77777777" w:rsidR="00580269" w:rsidRDefault="00580269" w:rsidP="00580269">
      <w:pPr>
        <w:spacing w:line="360" w:lineRule="auto"/>
        <w:ind w:firstLine="560"/>
        <w:rPr>
          <w:rFonts w:ascii="宋体" w:eastAsia="宋体" w:hAnsi="宋体"/>
          <w:color w:val="000000"/>
          <w:sz w:val="28"/>
          <w:szCs w:val="28"/>
        </w:rPr>
      </w:pPr>
      <w:r>
        <w:rPr>
          <w:rFonts w:ascii="宋体" w:eastAsia="宋体" w:hAnsi="宋体"/>
          <w:color w:val="000000"/>
          <w:sz w:val="28"/>
          <w:szCs w:val="28"/>
        </w:rPr>
        <w:t>推动大数据发展与检察工作创新有机结合，形成大数据驱动型的检察工作创新模式，在业务流程优化、区域协同发展等方面探索业务模式、管理模式创新。</w:t>
      </w:r>
    </w:p>
    <w:p w14:paraId="3CE51448" w14:textId="77777777" w:rsidR="00580269" w:rsidRDefault="00580269" w:rsidP="00580269">
      <w:pPr>
        <w:pStyle w:val="a7"/>
        <w:numPr>
          <w:ilvl w:val="0"/>
          <w:numId w:val="3"/>
        </w:numPr>
        <w:ind w:left="0" w:firstLine="562"/>
        <w:rPr>
          <w:rFonts w:ascii="宋体" w:eastAsia="宋体" w:hAnsi="宋体"/>
          <w:b/>
          <w:bCs/>
          <w:color w:val="000000"/>
          <w:sz w:val="28"/>
          <w:szCs w:val="28"/>
        </w:rPr>
      </w:pPr>
      <w:r>
        <w:rPr>
          <w:rFonts w:ascii="宋体" w:eastAsia="宋体" w:hAnsi="宋体"/>
          <w:b/>
          <w:bCs/>
          <w:color w:val="000000"/>
          <w:sz w:val="28"/>
          <w:szCs w:val="28"/>
        </w:rPr>
        <w:t>驱动协同发展</w:t>
      </w:r>
    </w:p>
    <w:p w14:paraId="3B47EFA3" w14:textId="77777777" w:rsidR="00580269" w:rsidRDefault="00580269" w:rsidP="00580269">
      <w:pPr>
        <w:spacing w:line="360" w:lineRule="auto"/>
        <w:ind w:firstLine="560"/>
        <w:rPr>
          <w:rFonts w:ascii="宋体" w:eastAsia="宋体" w:hAnsi="宋体"/>
          <w:color w:val="000000"/>
          <w:sz w:val="28"/>
          <w:szCs w:val="28"/>
        </w:rPr>
      </w:pPr>
      <w:r>
        <w:rPr>
          <w:rFonts w:ascii="宋体" w:eastAsia="宋体" w:hAnsi="宋体"/>
          <w:color w:val="000000"/>
          <w:sz w:val="28"/>
          <w:szCs w:val="28"/>
        </w:rPr>
        <w:t>推动跨应用系统、跨业务部门、跨区域层级的检察机关内部数据开放，实现检察数据资源、知识库体系和支撑平台共享。</w:t>
      </w:r>
    </w:p>
    <w:p w14:paraId="51C1261E" w14:textId="77777777" w:rsidR="00580269" w:rsidRDefault="00580269" w:rsidP="00580269">
      <w:pPr>
        <w:pStyle w:val="a7"/>
        <w:numPr>
          <w:ilvl w:val="0"/>
          <w:numId w:val="3"/>
        </w:numPr>
        <w:ind w:left="0" w:firstLine="562"/>
        <w:rPr>
          <w:rFonts w:ascii="宋体" w:eastAsia="宋体" w:hAnsi="宋体"/>
          <w:b/>
          <w:bCs/>
          <w:color w:val="000000"/>
          <w:sz w:val="28"/>
          <w:szCs w:val="28"/>
        </w:rPr>
      </w:pPr>
      <w:r>
        <w:rPr>
          <w:rFonts w:ascii="宋体" w:eastAsia="宋体" w:hAnsi="宋体"/>
          <w:b/>
          <w:bCs/>
          <w:color w:val="000000"/>
          <w:sz w:val="28"/>
          <w:szCs w:val="28"/>
        </w:rPr>
        <w:t>立足安全发展</w:t>
      </w:r>
    </w:p>
    <w:p w14:paraId="79E027EF" w14:textId="77777777" w:rsidR="00580269" w:rsidRDefault="00580269" w:rsidP="00580269">
      <w:pPr>
        <w:spacing w:line="360" w:lineRule="auto"/>
        <w:ind w:firstLine="560"/>
        <w:rPr>
          <w:rFonts w:ascii="宋体" w:eastAsia="宋体" w:hAnsi="宋体"/>
          <w:color w:val="000000"/>
          <w:sz w:val="28"/>
          <w:szCs w:val="28"/>
        </w:rPr>
      </w:pPr>
      <w:r>
        <w:rPr>
          <w:rFonts w:ascii="宋体" w:eastAsia="宋体" w:hAnsi="宋体"/>
          <w:color w:val="000000"/>
          <w:sz w:val="28"/>
          <w:szCs w:val="28"/>
        </w:rPr>
        <w:t>按照中央关于网络安全和信息化的统一要求，进一步强化大数据信息安全保障，稳步推进自主可控在检察机关的系统性应用；完善安全运行保障机制，逐步提升基础设施关键设备和系统平台稳定可靠水平。</w:t>
      </w:r>
    </w:p>
    <w:p w14:paraId="515D6AB0" w14:textId="56219A76" w:rsidR="00580269" w:rsidRPr="00B16FE4" w:rsidRDefault="00580269" w:rsidP="00580269">
      <w:pPr>
        <w:spacing w:line="360" w:lineRule="auto"/>
        <w:ind w:firstLine="560"/>
        <w:rPr>
          <w:rFonts w:ascii="宋体" w:eastAsia="宋体" w:hAnsi="宋体"/>
          <w:color w:val="000000"/>
          <w:sz w:val="28"/>
          <w:szCs w:val="28"/>
        </w:rPr>
      </w:pPr>
      <w:r>
        <w:rPr>
          <w:rFonts w:ascii="宋体" w:eastAsia="宋体" w:hAnsi="宋体"/>
          <w:color w:val="000000"/>
          <w:sz w:val="28"/>
          <w:szCs w:val="28"/>
        </w:rPr>
        <w:lastRenderedPageBreak/>
        <w:t>检察机关大数据中心统筹管理检察工作所有相关数据，编制数据标准，建立上下级联动机制，保障数据安全畅通流转和利用。并且构建数据管理体系，加强对数据收集、存储、加工、组织、计算、检索、传送和维护全流程的管理，注重数据安全保护，开展内外部数据资源的融合、分析、挖掘和展现，充分发挥数据的价值，提升数据处理效率，同时为领导的决策分析提供支持和依据。</w:t>
      </w:r>
    </w:p>
    <w:sectPr w:rsidR="00580269" w:rsidRPr="00B16F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E90E" w14:textId="77777777" w:rsidR="00AB2FF1" w:rsidRDefault="00AB2FF1" w:rsidP="00AF5798">
      <w:r>
        <w:separator/>
      </w:r>
    </w:p>
  </w:endnote>
  <w:endnote w:type="continuationSeparator" w:id="0">
    <w:p w14:paraId="166B11AD" w14:textId="77777777" w:rsidR="00AB2FF1" w:rsidRDefault="00AB2FF1" w:rsidP="00AF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C7DA4" w14:textId="77777777" w:rsidR="00AB2FF1" w:rsidRDefault="00AB2FF1" w:rsidP="00AF5798">
      <w:r>
        <w:separator/>
      </w:r>
    </w:p>
  </w:footnote>
  <w:footnote w:type="continuationSeparator" w:id="0">
    <w:p w14:paraId="1B14C219" w14:textId="77777777" w:rsidR="00AB2FF1" w:rsidRDefault="00AB2FF1" w:rsidP="00AF5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B7126"/>
    <w:multiLevelType w:val="hybridMultilevel"/>
    <w:tmpl w:val="04129768"/>
    <w:lvl w:ilvl="0" w:tplc="A75629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8B22388"/>
    <w:multiLevelType w:val="multilevel"/>
    <w:tmpl w:val="AD949890"/>
    <w:lvl w:ilvl="0">
      <w:start w:val="1"/>
      <w:numFmt w:val="decimal"/>
      <w:lvlText w:val="(%1)"/>
      <w:lvlJc w:val="left"/>
      <w:pPr>
        <w:ind w:left="420" w:hanging="420"/>
      </w:pPr>
      <w:rPr>
        <w:rFonts w:ascii="等线" w:eastAsia="等线" w:hAnsi="等线" w:hint="default"/>
        <w:bCs/>
      </w:rPr>
    </w:lvl>
    <w:lvl w:ilvl="1">
      <w:start w:val="1"/>
      <w:numFmt w:val="lowerLetter"/>
      <w:lvlText w:val="%2)"/>
      <w:lvlJc w:val="left"/>
      <w:pPr>
        <w:ind w:left="840" w:hanging="420"/>
      </w:pPr>
      <w:rPr>
        <w:rFonts w:ascii="等线" w:eastAsia="等线" w:hAnsi="等线" w:hint="default"/>
        <w:bCs/>
      </w:rPr>
    </w:lvl>
    <w:lvl w:ilvl="2">
      <w:start w:val="1"/>
      <w:numFmt w:val="lowerRoman"/>
      <w:lvlText w:val="%3."/>
      <w:lvlJc w:val="left"/>
      <w:pPr>
        <w:ind w:left="1260" w:hanging="420"/>
      </w:pPr>
      <w:rPr>
        <w:rFonts w:ascii="等线" w:eastAsia="等线" w:hAnsi="等线" w:hint="default"/>
        <w:bCs/>
      </w:rPr>
    </w:lvl>
    <w:lvl w:ilvl="3">
      <w:start w:val="1"/>
      <w:numFmt w:val="decimal"/>
      <w:lvlText w:val="%4."/>
      <w:lvlJc w:val="left"/>
      <w:pPr>
        <w:ind w:left="1680" w:hanging="420"/>
      </w:pPr>
      <w:rPr>
        <w:rFonts w:ascii="等线" w:eastAsia="等线" w:hAnsi="等线" w:hint="default"/>
        <w:bCs/>
      </w:rPr>
    </w:lvl>
    <w:lvl w:ilvl="4">
      <w:start w:val="1"/>
      <w:numFmt w:val="lowerLetter"/>
      <w:lvlText w:val="%5)"/>
      <w:lvlJc w:val="left"/>
      <w:pPr>
        <w:ind w:left="2100" w:hanging="420"/>
      </w:pPr>
      <w:rPr>
        <w:rFonts w:ascii="等线" w:eastAsia="等线" w:hAnsi="等线" w:hint="default"/>
        <w:bCs/>
      </w:rPr>
    </w:lvl>
    <w:lvl w:ilvl="5">
      <w:start w:val="1"/>
      <w:numFmt w:val="lowerRoman"/>
      <w:lvlText w:val="%6."/>
      <w:lvlJc w:val="left"/>
      <w:pPr>
        <w:ind w:left="2520" w:hanging="420"/>
      </w:pPr>
      <w:rPr>
        <w:rFonts w:ascii="等线" w:eastAsia="等线" w:hAnsi="等线" w:hint="default"/>
        <w:bCs/>
      </w:rPr>
    </w:lvl>
    <w:lvl w:ilvl="6">
      <w:start w:val="1"/>
      <w:numFmt w:val="decimal"/>
      <w:lvlText w:val="%7."/>
      <w:lvlJc w:val="left"/>
      <w:pPr>
        <w:ind w:left="2940" w:hanging="420"/>
      </w:pPr>
      <w:rPr>
        <w:rFonts w:ascii="等线" w:eastAsia="等线" w:hAnsi="等线" w:hint="default"/>
        <w:bCs/>
      </w:rPr>
    </w:lvl>
    <w:lvl w:ilvl="7">
      <w:start w:val="1"/>
      <w:numFmt w:val="lowerLetter"/>
      <w:lvlText w:val="%8)"/>
      <w:lvlJc w:val="left"/>
      <w:pPr>
        <w:ind w:left="3360" w:hanging="420"/>
      </w:pPr>
      <w:rPr>
        <w:rFonts w:ascii="等线" w:eastAsia="等线" w:hAnsi="等线" w:hint="default"/>
        <w:bCs/>
      </w:rPr>
    </w:lvl>
    <w:lvl w:ilvl="8">
      <w:start w:val="1"/>
      <w:numFmt w:val="lowerRoman"/>
      <w:lvlText w:val="%9."/>
      <w:lvlJc w:val="left"/>
      <w:pPr>
        <w:ind w:left="3780" w:hanging="420"/>
      </w:pPr>
      <w:rPr>
        <w:rFonts w:ascii="等线" w:eastAsia="等线" w:hAnsi="等线" w:hint="default"/>
        <w:bCs/>
      </w:rPr>
    </w:lvl>
  </w:abstractNum>
  <w:abstractNum w:abstractNumId="2" w15:restartNumberingAfterBreak="0">
    <w:nsid w:val="74C45129"/>
    <w:multiLevelType w:val="hybridMultilevel"/>
    <w:tmpl w:val="BA0AB148"/>
    <w:lvl w:ilvl="0" w:tplc="328C9AF2">
      <w:start w:val="1"/>
      <w:numFmt w:val="decimal"/>
      <w:lvlText w:val="%1."/>
      <w:lvlJc w:val="left"/>
      <w:pPr>
        <w:ind w:left="950" w:hanging="390"/>
      </w:pPr>
      <w:rPr>
        <w:rFonts w:ascii="宋体" w:eastAsia="宋体" w:hAnsi="宋体" w:hint="default"/>
        <w:color w:val="000000"/>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BE"/>
    <w:rsid w:val="00391446"/>
    <w:rsid w:val="003C351E"/>
    <w:rsid w:val="00557A61"/>
    <w:rsid w:val="00580269"/>
    <w:rsid w:val="005A7937"/>
    <w:rsid w:val="0067551B"/>
    <w:rsid w:val="007E5825"/>
    <w:rsid w:val="00845883"/>
    <w:rsid w:val="00857D34"/>
    <w:rsid w:val="0087624B"/>
    <w:rsid w:val="00986BF7"/>
    <w:rsid w:val="00AB2FF1"/>
    <w:rsid w:val="00AB5444"/>
    <w:rsid w:val="00AF5798"/>
    <w:rsid w:val="00B16FE4"/>
    <w:rsid w:val="00DA00DB"/>
    <w:rsid w:val="00F80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178B5"/>
  <w15:chartTrackingRefBased/>
  <w15:docId w15:val="{24DD1945-F972-42AE-AC18-D5EC4E9F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6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7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5798"/>
    <w:rPr>
      <w:sz w:val="18"/>
      <w:szCs w:val="18"/>
    </w:rPr>
  </w:style>
  <w:style w:type="paragraph" w:styleId="a5">
    <w:name w:val="footer"/>
    <w:basedOn w:val="a"/>
    <w:link w:val="a6"/>
    <w:uiPriority w:val="99"/>
    <w:unhideWhenUsed/>
    <w:qFormat/>
    <w:rsid w:val="00AF5798"/>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F5798"/>
    <w:rPr>
      <w:sz w:val="18"/>
      <w:szCs w:val="18"/>
    </w:rPr>
  </w:style>
  <w:style w:type="paragraph" w:styleId="a7">
    <w:name w:val="List Paragraph"/>
    <w:basedOn w:val="a"/>
    <w:uiPriority w:val="34"/>
    <w:qFormat/>
    <w:rsid w:val="00B16F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xc-ypy</dc:creator>
  <cp:keywords/>
  <dc:description/>
  <cp:lastModifiedBy>xc-ypy</cp:lastModifiedBy>
  <cp:revision>21</cp:revision>
  <dcterms:created xsi:type="dcterms:W3CDTF">2021-03-29T01:24:00Z</dcterms:created>
  <dcterms:modified xsi:type="dcterms:W3CDTF">2022-05-12T05:13:00Z</dcterms:modified>
</cp:coreProperties>
</file>