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numPr>
          <w:ilvl w:val="0"/>
          <w:numId w:val="2"/>
        </w:numPr>
        <w:ind w:firstLineChars="0"/>
        <w:rPr>
          <w:rFonts w:ascii="微软雅黑" w:hAnsi="微软雅黑" w:eastAsia="微软雅黑"/>
          <w:b/>
          <w:sz w:val="24"/>
          <w:szCs w:val="24"/>
        </w:rPr>
      </w:pPr>
      <w:r>
        <w:rPr>
          <w:rFonts w:hint="eastAsia" w:ascii="微软雅黑" w:hAnsi="微软雅黑" w:eastAsia="微软雅黑"/>
          <w:b/>
          <w:sz w:val="24"/>
          <w:szCs w:val="24"/>
        </w:rPr>
        <w:t>项目文字介绍（300字左右）</w:t>
      </w:r>
    </w:p>
    <w:p>
      <w:pPr>
        <w:spacing w:line="360" w:lineRule="auto"/>
        <w:ind w:left="0" w:leftChars="0" w:firstLine="420" w:firstLineChars="175"/>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为了</w:t>
      </w:r>
      <w:r>
        <w:rPr>
          <w:rFonts w:hint="eastAsia" w:asciiTheme="minorEastAsia" w:hAnsiTheme="minorEastAsia" w:eastAsiaTheme="minorEastAsia" w:cstheme="minorEastAsia"/>
          <w:sz w:val="24"/>
          <w:szCs w:val="24"/>
          <w:lang w:val="en-US" w:eastAsia="zh-CN"/>
        </w:rPr>
        <w:t>改善环境空气质量，认真落实党中央、国务院《打赢蓝天保卫战三年行动计划》以及贵州省《贵州省打赢蓝天保卫战三年行动计划》、《贵州省大气污染防治行动计划实施方案》的决策部署和要求</w:t>
      </w:r>
      <w:r>
        <w:rPr>
          <w:rFonts w:hint="eastAsia" w:asciiTheme="minorEastAsia" w:hAnsiTheme="minorEastAsia" w:cstheme="minorEastAsia"/>
          <w:sz w:val="24"/>
          <w:szCs w:val="24"/>
          <w:lang w:val="en-US" w:eastAsia="zh-CN"/>
        </w:rPr>
        <w:t>，建立了贵州省大气环境管理系统。利用</w:t>
      </w:r>
      <w:r>
        <w:rPr>
          <w:rFonts w:hint="eastAsia" w:asciiTheme="minorEastAsia" w:hAnsiTheme="minorEastAsia" w:eastAsiaTheme="minorEastAsia" w:cstheme="minorEastAsia"/>
          <w:sz w:val="24"/>
          <w:szCs w:val="24"/>
          <w:lang w:val="en-US" w:eastAsia="zh-CN"/>
        </w:rPr>
        <w:t>空气质量管理</w:t>
      </w:r>
      <w:r>
        <w:rPr>
          <w:rFonts w:hint="eastAsia" w:asciiTheme="minorEastAsia" w:hAnsiTheme="minorEastAsia" w:cstheme="minorEastAsia"/>
          <w:sz w:val="24"/>
          <w:szCs w:val="24"/>
          <w:lang w:val="en-US" w:eastAsia="zh-CN"/>
        </w:rPr>
        <w:t>实时提取自动监测数据、对污染情况进行及时报警</w:t>
      </w:r>
      <w:r>
        <w:rPr>
          <w:rFonts w:hint="eastAsia" w:asciiTheme="minorEastAsia" w:hAnsiTheme="minorEastAsia" w:eastAsiaTheme="minorEastAsia" w:cstheme="minorEastAsia"/>
          <w:sz w:val="24"/>
          <w:szCs w:val="24"/>
          <w:lang w:val="en-US" w:eastAsia="zh-CN"/>
        </w:rPr>
        <w:t>，掌握</w:t>
      </w:r>
      <w:r>
        <w:rPr>
          <w:rFonts w:hint="eastAsia" w:asciiTheme="minorEastAsia" w:hAnsiTheme="minorEastAsia" w:cstheme="minorEastAsia"/>
          <w:sz w:val="24"/>
          <w:szCs w:val="24"/>
          <w:lang w:val="en-US" w:eastAsia="zh-CN"/>
        </w:rPr>
        <w:t>空气</w:t>
      </w:r>
      <w:r>
        <w:rPr>
          <w:rFonts w:hint="eastAsia" w:asciiTheme="minorEastAsia" w:hAnsiTheme="minorEastAsia" w:eastAsiaTheme="minorEastAsia" w:cstheme="minorEastAsia"/>
          <w:sz w:val="24"/>
          <w:szCs w:val="24"/>
          <w:lang w:val="en-US" w:eastAsia="zh-CN"/>
        </w:rPr>
        <w:t>质量变化趋势；</w:t>
      </w:r>
      <w:r>
        <w:rPr>
          <w:rFonts w:hint="eastAsia" w:asciiTheme="minorEastAsia" w:hAnsiTheme="minorEastAsia" w:cstheme="minorEastAsia"/>
          <w:sz w:val="24"/>
          <w:szCs w:val="24"/>
          <w:lang w:val="en-US" w:eastAsia="zh-CN"/>
        </w:rPr>
        <w:t>利用轻中度污染天气的</w:t>
      </w:r>
      <w:r>
        <w:rPr>
          <w:rFonts w:hint="eastAsia" w:asciiTheme="minorEastAsia" w:hAnsiTheme="minorEastAsia" w:eastAsiaTheme="minorEastAsia" w:cstheme="minorEastAsia"/>
          <w:sz w:val="24"/>
          <w:szCs w:val="24"/>
          <w:lang w:val="en-US" w:eastAsia="zh-CN"/>
        </w:rPr>
        <w:t>应急</w:t>
      </w:r>
      <w:r>
        <w:rPr>
          <w:rFonts w:hint="eastAsia" w:asciiTheme="minorEastAsia" w:hAnsiTheme="minorEastAsia" w:cstheme="minorEastAsia"/>
          <w:sz w:val="24"/>
          <w:szCs w:val="24"/>
          <w:lang w:val="en-US" w:eastAsia="zh-CN"/>
        </w:rPr>
        <w:t>处置</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及时把控污染处置情况，</w:t>
      </w:r>
      <w:r>
        <w:rPr>
          <w:rFonts w:hint="eastAsia" w:asciiTheme="minorEastAsia" w:hAnsiTheme="minorEastAsia" w:eastAsiaTheme="minorEastAsia" w:cstheme="minorEastAsia"/>
          <w:sz w:val="24"/>
          <w:szCs w:val="24"/>
          <w:lang w:val="en-US" w:eastAsia="zh-CN"/>
        </w:rPr>
        <w:t>降低事故危害；</w:t>
      </w:r>
      <w:r>
        <w:rPr>
          <w:rFonts w:hint="eastAsia" w:asciiTheme="minorEastAsia" w:hAnsiTheme="minorEastAsia" w:cstheme="minorEastAsia"/>
          <w:sz w:val="24"/>
          <w:szCs w:val="24"/>
          <w:lang w:val="en-US" w:eastAsia="zh-CN"/>
        </w:rPr>
        <w:t>利用日常</w:t>
      </w:r>
      <w:r>
        <w:rPr>
          <w:rFonts w:hint="eastAsia" w:asciiTheme="minorEastAsia" w:hAnsiTheme="minorEastAsia" w:eastAsiaTheme="minorEastAsia" w:cstheme="minorEastAsia"/>
          <w:sz w:val="24"/>
          <w:szCs w:val="24"/>
          <w:lang w:val="en-US" w:eastAsia="zh-CN"/>
        </w:rPr>
        <w:t>工作管理，对环境空气质量目标进行统一规划，统一管控</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实现</w:t>
      </w:r>
      <w:r>
        <w:rPr>
          <w:rFonts w:hint="eastAsia" w:asciiTheme="minorEastAsia" w:hAnsiTheme="minorEastAsia" w:cstheme="minorEastAsia"/>
          <w:sz w:val="24"/>
          <w:szCs w:val="24"/>
          <w:lang w:val="en-US" w:eastAsia="zh-CN"/>
        </w:rPr>
        <w:t>贵州省的</w:t>
      </w:r>
      <w:r>
        <w:rPr>
          <w:rFonts w:hint="eastAsia" w:asciiTheme="minorEastAsia" w:hAnsiTheme="minorEastAsia" w:eastAsiaTheme="minorEastAsia" w:cstheme="minorEastAsia"/>
          <w:sz w:val="24"/>
          <w:szCs w:val="24"/>
          <w:lang w:val="en-US" w:eastAsia="zh-CN"/>
        </w:rPr>
        <w:t>空气质量改善，</w:t>
      </w:r>
      <w:r>
        <w:rPr>
          <w:rFonts w:hint="eastAsia" w:asciiTheme="minorEastAsia" w:hAnsiTheme="minorEastAsia" w:cstheme="minorEastAsia"/>
          <w:sz w:val="24"/>
          <w:szCs w:val="24"/>
          <w:lang w:val="en-US" w:eastAsia="zh-CN"/>
        </w:rPr>
        <w:t>辅助领导对贵州省空气质量的管理作出决策</w:t>
      </w:r>
      <w:r>
        <w:rPr>
          <w:rFonts w:hint="eastAsia" w:asciiTheme="minorEastAsia" w:hAnsiTheme="minorEastAsia" w:eastAsiaTheme="minorEastAsia" w:cstheme="minorEastAsia"/>
          <w:sz w:val="24"/>
          <w:szCs w:val="24"/>
          <w:lang w:val="en-US" w:eastAsia="zh-CN"/>
        </w:rPr>
        <w:t xml:space="preserve">。 </w:t>
      </w:r>
    </w:p>
    <w:p>
      <w:pPr>
        <w:spacing w:line="360" w:lineRule="auto"/>
        <w:ind w:left="0" w:leftChars="0" w:firstLine="420" w:firstLineChars="175"/>
        <w:rPr>
          <w:rFonts w:hint="eastAsia" w:asciiTheme="minorEastAsia" w:hAnsiTheme="minorEastAsia" w:eastAsiaTheme="minorEastAsia" w:cstheme="minorEastAsia"/>
          <w:sz w:val="24"/>
          <w:szCs w:val="24"/>
          <w:lang w:val="en-US" w:eastAsia="zh-CN"/>
        </w:rPr>
      </w:pPr>
    </w:p>
    <w:p>
      <w:pPr>
        <w:pStyle w:val="7"/>
        <w:numPr>
          <w:ilvl w:val="0"/>
          <w:numId w:val="0"/>
        </w:numPr>
        <w:tabs>
          <w:tab w:val="left" w:pos="2631"/>
          <w:tab w:val="left" w:pos="2886"/>
        </w:tabs>
        <w:ind w:leftChars="0"/>
        <w:rPr>
          <w:rFonts w:hint="eastAsia" w:ascii="微软雅黑" w:hAnsi="微软雅黑" w:eastAsia="微软雅黑"/>
          <w:b/>
          <w:sz w:val="24"/>
          <w:szCs w:val="24"/>
        </w:rPr>
      </w:pPr>
      <w:r>
        <w:rPr>
          <w:rFonts w:hint="eastAsia" w:ascii="微软雅黑" w:hAnsi="微软雅黑" w:eastAsia="微软雅黑"/>
          <w:b/>
          <w:sz w:val="24"/>
          <w:szCs w:val="24"/>
          <w:lang w:val="en-US" w:eastAsia="zh-CN"/>
        </w:rPr>
        <w:t>二、</w:t>
      </w:r>
      <w:r>
        <w:rPr>
          <w:rFonts w:hint="eastAsia" w:ascii="微软雅黑" w:hAnsi="微软雅黑" w:eastAsia="微软雅黑"/>
          <w:b/>
          <w:sz w:val="24"/>
          <w:szCs w:val="24"/>
        </w:rPr>
        <w:t>特色功能截图</w:t>
      </w:r>
    </w:p>
    <w:p>
      <w:pPr>
        <w:pStyle w:val="7"/>
        <w:numPr>
          <w:ilvl w:val="0"/>
          <w:numId w:val="0"/>
        </w:numPr>
        <w:tabs>
          <w:tab w:val="left" w:pos="2631"/>
          <w:tab w:val="left" w:pos="2886"/>
        </w:tabs>
        <w:ind w:leftChars="0"/>
        <w:rPr>
          <w:rFonts w:hint="default" w:ascii="微软雅黑" w:hAnsi="微软雅黑" w:eastAsia="微软雅黑"/>
          <w:b/>
          <w:sz w:val="24"/>
          <w:szCs w:val="24"/>
          <w:lang w:val="en-US"/>
        </w:rPr>
      </w:pPr>
      <w:r>
        <w:rPr>
          <w:rFonts w:hint="eastAsia" w:ascii="微软雅黑" w:hAnsi="微软雅黑" w:eastAsia="微软雅黑"/>
          <w:b/>
          <w:sz w:val="24"/>
          <w:szCs w:val="24"/>
          <w:lang w:val="en-US" w:eastAsia="zh-CN"/>
        </w:rPr>
        <w:t>1、空气质量状况页面</w:t>
      </w:r>
    </w:p>
    <w:p>
      <w:pPr>
        <w:pStyle w:val="7"/>
        <w:numPr>
          <w:ilvl w:val="0"/>
          <w:numId w:val="0"/>
        </w:numPr>
        <w:tabs>
          <w:tab w:val="left" w:pos="2151"/>
        </w:tabs>
        <w:ind w:leftChars="0"/>
      </w:pPr>
      <w:r>
        <w:drawing>
          <wp:inline distT="0" distB="0" distL="114300" distR="114300">
            <wp:extent cx="5271135" cy="2409190"/>
            <wp:effectExtent l="0" t="0" r="571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2409190"/>
                    </a:xfrm>
                    <a:prstGeom prst="rect">
                      <a:avLst/>
                    </a:prstGeom>
                    <a:noFill/>
                    <a:ln>
                      <a:noFill/>
                    </a:ln>
                  </pic:spPr>
                </pic:pic>
              </a:graphicData>
            </a:graphic>
          </wp:inline>
        </w:drawing>
      </w:r>
    </w:p>
    <w:p>
      <w:pPr>
        <w:pStyle w:val="7"/>
        <w:numPr>
          <w:ilvl w:val="0"/>
          <w:numId w:val="0"/>
        </w:numPr>
        <w:tabs>
          <w:tab w:val="left" w:pos="2151"/>
        </w:tabs>
        <w:ind w:leftChars="0"/>
      </w:pPr>
    </w:p>
    <w:p>
      <w:pPr>
        <w:pStyle w:val="7"/>
        <w:numPr>
          <w:ilvl w:val="0"/>
          <w:numId w:val="0"/>
        </w:numPr>
        <w:tabs>
          <w:tab w:val="left" w:pos="2151"/>
        </w:tabs>
        <w:ind w:leftChars="0"/>
      </w:pPr>
      <w:r>
        <w:drawing>
          <wp:inline distT="0" distB="0" distL="114300" distR="114300">
            <wp:extent cx="5265420" cy="2411095"/>
            <wp:effectExtent l="0" t="0" r="1143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5420" cy="2411095"/>
                    </a:xfrm>
                    <a:prstGeom prst="rect">
                      <a:avLst/>
                    </a:prstGeom>
                    <a:noFill/>
                    <a:ln>
                      <a:noFill/>
                    </a:ln>
                  </pic:spPr>
                </pic:pic>
              </a:graphicData>
            </a:graphic>
          </wp:inline>
        </w:drawing>
      </w:r>
    </w:p>
    <w:p>
      <w:pPr>
        <w:pStyle w:val="7"/>
        <w:numPr>
          <w:ilvl w:val="0"/>
          <w:numId w:val="0"/>
        </w:numPr>
        <w:tabs>
          <w:tab w:val="left" w:pos="2151"/>
        </w:tabs>
        <w:ind w:leftChars="0"/>
      </w:pPr>
      <w:r>
        <w:drawing>
          <wp:inline distT="0" distB="0" distL="114300" distR="114300">
            <wp:extent cx="5271135" cy="2416810"/>
            <wp:effectExtent l="0" t="0" r="571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1135" cy="2416810"/>
                    </a:xfrm>
                    <a:prstGeom prst="rect">
                      <a:avLst/>
                    </a:prstGeom>
                    <a:noFill/>
                    <a:ln>
                      <a:noFill/>
                    </a:ln>
                  </pic:spPr>
                </pic:pic>
              </a:graphicData>
            </a:graphic>
          </wp:inline>
        </w:drawing>
      </w:r>
    </w:p>
    <w:p>
      <w:pPr>
        <w:pStyle w:val="7"/>
        <w:numPr>
          <w:ilvl w:val="0"/>
          <w:numId w:val="0"/>
        </w:numPr>
        <w:tabs>
          <w:tab w:val="left" w:pos="2151"/>
        </w:tabs>
        <w:ind w:leftChars="0"/>
        <w:rPr>
          <w:rFonts w:hint="eastAsia"/>
          <w:lang w:eastAsia="zh-CN"/>
        </w:rPr>
      </w:pPr>
      <w:r>
        <w:drawing>
          <wp:inline distT="0" distB="0" distL="114300" distR="114300">
            <wp:extent cx="5262880" cy="2413000"/>
            <wp:effectExtent l="0" t="0" r="1397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2880" cy="2413000"/>
                    </a:xfrm>
                    <a:prstGeom prst="rect">
                      <a:avLst/>
                    </a:prstGeom>
                    <a:noFill/>
                    <a:ln>
                      <a:noFill/>
                    </a:ln>
                  </pic:spPr>
                </pic:pic>
              </a:graphicData>
            </a:graphic>
          </wp:inline>
        </w:drawing>
      </w:r>
    </w:p>
    <w:p>
      <w:pPr>
        <w:pStyle w:val="7"/>
        <w:numPr>
          <w:ilvl w:val="0"/>
          <w:numId w:val="3"/>
        </w:numPr>
        <w:tabs>
          <w:tab w:val="left" w:pos="696"/>
        </w:tabs>
        <w:ind w:leftChars="0"/>
        <w:rPr>
          <w:rFonts w:hint="eastAsia"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应急管控</w:t>
      </w:r>
    </w:p>
    <w:p>
      <w:pPr>
        <w:pStyle w:val="7"/>
        <w:numPr>
          <w:ilvl w:val="0"/>
          <w:numId w:val="0"/>
        </w:numPr>
        <w:tabs>
          <w:tab w:val="left" w:pos="696"/>
        </w:tabs>
        <w:ind w:leftChars="200"/>
        <w:rPr>
          <w:rFonts w:hint="default"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双预警机制：</w:t>
      </w:r>
    </w:p>
    <w:p>
      <w:pPr>
        <w:tabs>
          <w:tab w:val="left" w:pos="1731"/>
        </w:tabs>
      </w:pPr>
      <w:r>
        <w:drawing>
          <wp:inline distT="0" distB="0" distL="114300" distR="114300">
            <wp:extent cx="5271135" cy="2413000"/>
            <wp:effectExtent l="0" t="0" r="571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1135" cy="2413000"/>
                    </a:xfrm>
                    <a:prstGeom prst="rect">
                      <a:avLst/>
                    </a:prstGeom>
                    <a:noFill/>
                    <a:ln>
                      <a:noFill/>
                    </a:ln>
                  </pic:spPr>
                </pic:pic>
              </a:graphicData>
            </a:graphic>
          </wp:inline>
        </w:drawing>
      </w:r>
    </w:p>
    <w:p>
      <w:pPr>
        <w:tabs>
          <w:tab w:val="left" w:pos="1731"/>
        </w:tabs>
      </w:pPr>
      <w:r>
        <w:drawing>
          <wp:inline distT="0" distB="0" distL="114300" distR="114300">
            <wp:extent cx="5261610" cy="2399665"/>
            <wp:effectExtent l="0" t="0" r="152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1610" cy="2399665"/>
                    </a:xfrm>
                    <a:prstGeom prst="rect">
                      <a:avLst/>
                    </a:prstGeom>
                    <a:noFill/>
                    <a:ln>
                      <a:noFill/>
                    </a:ln>
                  </pic:spPr>
                </pic:pic>
              </a:graphicData>
            </a:graphic>
          </wp:inline>
        </w:drawing>
      </w:r>
    </w:p>
    <w:p>
      <w:pPr>
        <w:tabs>
          <w:tab w:val="left" w:pos="1731"/>
        </w:tabs>
      </w:pPr>
      <w:r>
        <w:drawing>
          <wp:inline distT="0" distB="0" distL="114300" distR="114300">
            <wp:extent cx="5271135" cy="2416810"/>
            <wp:effectExtent l="0" t="0" r="571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1135" cy="2416810"/>
                    </a:xfrm>
                    <a:prstGeom prst="rect">
                      <a:avLst/>
                    </a:prstGeom>
                    <a:noFill/>
                    <a:ln>
                      <a:noFill/>
                    </a:ln>
                  </pic:spPr>
                </pic:pic>
              </a:graphicData>
            </a:graphic>
          </wp:inline>
        </w:drawing>
      </w:r>
    </w:p>
    <w:p>
      <w:pPr>
        <w:tabs>
          <w:tab w:val="left" w:pos="1731"/>
        </w:tabs>
      </w:pPr>
      <w:r>
        <w:drawing>
          <wp:inline distT="0" distB="0" distL="114300" distR="114300">
            <wp:extent cx="5268595" cy="2407285"/>
            <wp:effectExtent l="0" t="0" r="825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8595" cy="2407285"/>
                    </a:xfrm>
                    <a:prstGeom prst="rect">
                      <a:avLst/>
                    </a:prstGeom>
                    <a:noFill/>
                    <a:ln>
                      <a:noFill/>
                    </a:ln>
                  </pic:spPr>
                </pic:pic>
              </a:graphicData>
            </a:graphic>
          </wp:inline>
        </w:drawing>
      </w:r>
    </w:p>
    <w:p>
      <w:pPr>
        <w:tabs>
          <w:tab w:val="left" w:pos="2916"/>
        </w:tabs>
        <w:rPr>
          <w:rFonts w:hint="eastAsia"/>
          <w:lang w:eastAsia="zh-CN"/>
        </w:rPr>
      </w:pPr>
      <w:r>
        <w:rPr>
          <w:rFonts w:hint="eastAsia"/>
          <w:lang w:eastAsia="zh-CN"/>
        </w:rPr>
        <w:tab/>
      </w:r>
    </w:p>
    <w:p>
      <w:pPr>
        <w:tabs>
          <w:tab w:val="left" w:pos="2916"/>
        </w:tabs>
        <w:rPr>
          <w:rFonts w:hint="eastAsia"/>
          <w:lang w:eastAsia="zh-CN"/>
        </w:rPr>
      </w:pPr>
    </w:p>
    <w:p>
      <w:pPr>
        <w:tabs>
          <w:tab w:val="left" w:pos="2916"/>
        </w:tabs>
        <w:rPr>
          <w:rFonts w:hint="eastAsia"/>
          <w:lang w:eastAsia="zh-CN"/>
        </w:rPr>
      </w:pPr>
    </w:p>
    <w:p>
      <w:pPr>
        <w:tabs>
          <w:tab w:val="left" w:pos="2916"/>
        </w:tabs>
        <w:rPr>
          <w:rFonts w:hint="eastAsia"/>
          <w:lang w:eastAsia="zh-CN"/>
        </w:rPr>
      </w:pPr>
    </w:p>
    <w:p>
      <w:pPr>
        <w:tabs>
          <w:tab w:val="left" w:pos="2916"/>
        </w:tabs>
        <w:rPr>
          <w:rFonts w:hint="eastAsia"/>
          <w:lang w:eastAsia="zh-CN"/>
        </w:rPr>
      </w:pPr>
    </w:p>
    <w:p>
      <w:pPr>
        <w:pStyle w:val="7"/>
        <w:numPr>
          <w:ilvl w:val="0"/>
          <w:numId w:val="3"/>
        </w:numPr>
        <w:tabs>
          <w:tab w:val="left" w:pos="696"/>
        </w:tabs>
        <w:ind w:leftChars="0"/>
        <w:rPr>
          <w:rFonts w:hint="eastAsia" w:ascii="微软雅黑" w:hAnsi="微软雅黑" w:eastAsia="微软雅黑"/>
          <w:b/>
          <w:sz w:val="24"/>
          <w:szCs w:val="24"/>
          <w:lang w:val="en-US" w:eastAsia="zh-CN"/>
        </w:rPr>
      </w:pPr>
      <w:r>
        <w:rPr>
          <w:rFonts w:hint="eastAsia" w:ascii="微软雅黑" w:hAnsi="微软雅黑" w:eastAsia="微软雅黑"/>
          <w:b/>
          <w:sz w:val="24"/>
          <w:szCs w:val="24"/>
          <w:lang w:val="en-US" w:eastAsia="zh-CN"/>
        </w:rPr>
        <w:t>日常工作管理</w:t>
      </w:r>
      <w:bookmarkStart w:id="0" w:name="_GoBack"/>
      <w:bookmarkEnd w:id="0"/>
    </w:p>
    <w:p>
      <w:pPr>
        <w:numPr>
          <w:ilvl w:val="0"/>
          <w:numId w:val="0"/>
        </w:numPr>
        <w:tabs>
          <w:tab w:val="left" w:pos="1731"/>
        </w:tabs>
        <w:ind w:leftChars="200"/>
      </w:pPr>
      <w:r>
        <w:drawing>
          <wp:inline distT="0" distB="0" distL="114300" distR="114300">
            <wp:extent cx="5265420" cy="2403475"/>
            <wp:effectExtent l="0" t="0" r="11430"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65420" cy="2403475"/>
                    </a:xfrm>
                    <a:prstGeom prst="rect">
                      <a:avLst/>
                    </a:prstGeom>
                    <a:noFill/>
                    <a:ln>
                      <a:noFill/>
                    </a:ln>
                  </pic:spPr>
                </pic:pic>
              </a:graphicData>
            </a:graphic>
          </wp:inline>
        </w:drawing>
      </w:r>
      <w:r>
        <w:drawing>
          <wp:inline distT="0" distB="0" distL="114300" distR="114300">
            <wp:extent cx="5267325" cy="2416810"/>
            <wp:effectExtent l="0" t="0" r="952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67325" cy="2416810"/>
                    </a:xfrm>
                    <a:prstGeom prst="rect">
                      <a:avLst/>
                    </a:prstGeom>
                    <a:noFill/>
                    <a:ln>
                      <a:noFill/>
                    </a:ln>
                  </pic:spPr>
                </pic:pic>
              </a:graphicData>
            </a:graphic>
          </wp:inline>
        </w:drawing>
      </w:r>
    </w:p>
    <w:p>
      <w:pPr>
        <w:numPr>
          <w:ilvl w:val="0"/>
          <w:numId w:val="0"/>
        </w:numPr>
        <w:tabs>
          <w:tab w:val="left" w:pos="1731"/>
        </w:tabs>
        <w:ind w:leftChars="200"/>
      </w:pPr>
      <w:r>
        <w:drawing>
          <wp:inline distT="0" distB="0" distL="114300" distR="114300">
            <wp:extent cx="5261610" cy="2379980"/>
            <wp:effectExtent l="0" t="0" r="152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61610" cy="2379980"/>
                    </a:xfrm>
                    <a:prstGeom prst="rect">
                      <a:avLst/>
                    </a:prstGeom>
                    <a:noFill/>
                    <a:ln>
                      <a:noFill/>
                    </a:ln>
                  </pic:spPr>
                </pic:pic>
              </a:graphicData>
            </a:graphic>
          </wp:inline>
        </w:drawing>
      </w:r>
    </w:p>
    <w:p>
      <w:pPr>
        <w:numPr>
          <w:ilvl w:val="0"/>
          <w:numId w:val="0"/>
        </w:numPr>
        <w:tabs>
          <w:tab w:val="left" w:pos="1731"/>
        </w:tabs>
        <w:ind w:leftChars="200"/>
      </w:pPr>
      <w:r>
        <w:drawing>
          <wp:inline distT="0" distB="0" distL="114300" distR="114300">
            <wp:extent cx="5267325" cy="2393950"/>
            <wp:effectExtent l="0" t="0" r="952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67325" cy="2393950"/>
                    </a:xfrm>
                    <a:prstGeom prst="rect">
                      <a:avLst/>
                    </a:prstGeom>
                    <a:noFill/>
                    <a:ln>
                      <a:noFill/>
                    </a:ln>
                  </pic:spPr>
                </pic:pic>
              </a:graphicData>
            </a:graphic>
          </wp:inline>
        </w:drawing>
      </w:r>
      <w:r>
        <w:drawing>
          <wp:inline distT="0" distB="0" distL="114300" distR="114300">
            <wp:extent cx="5273675" cy="2409190"/>
            <wp:effectExtent l="0" t="0" r="3175"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3675" cy="2409190"/>
                    </a:xfrm>
                    <a:prstGeom prst="rect">
                      <a:avLst/>
                    </a:prstGeom>
                    <a:noFill/>
                    <a:ln>
                      <a:noFill/>
                    </a:ln>
                  </pic:spPr>
                </pic:pic>
              </a:graphicData>
            </a:graphic>
          </wp:inline>
        </w:drawing>
      </w:r>
    </w:p>
    <w:p>
      <w:pPr>
        <w:numPr>
          <w:ilvl w:val="0"/>
          <w:numId w:val="0"/>
        </w:numPr>
        <w:tabs>
          <w:tab w:val="left" w:pos="1731"/>
        </w:tabs>
        <w:ind w:leftChars="200"/>
      </w:pPr>
      <w:r>
        <w:drawing>
          <wp:inline distT="0" distB="0" distL="114300" distR="114300">
            <wp:extent cx="5271135" cy="2413000"/>
            <wp:effectExtent l="0" t="0" r="571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1135" cy="2413000"/>
                    </a:xfrm>
                    <a:prstGeom prst="rect">
                      <a:avLst/>
                    </a:prstGeom>
                    <a:noFill/>
                    <a:ln>
                      <a:noFill/>
                    </a:ln>
                  </pic:spPr>
                </pic:pic>
              </a:graphicData>
            </a:graphic>
          </wp:inline>
        </w:drawing>
      </w:r>
      <w:r>
        <w:rPr>
          <w:rFonts w:hint="eastAsia"/>
          <w:lang w:val="en-US" w:eastAsia="zh-CN"/>
        </w:rPr>
        <w:tab/>
      </w:r>
    </w:p>
    <w:p>
      <w:pPr>
        <w:widowControl w:val="0"/>
        <w:numPr>
          <w:ilvl w:val="0"/>
          <w:numId w:val="0"/>
        </w:numPr>
        <w:tabs>
          <w:tab w:val="left" w:pos="1041"/>
        </w:tabs>
        <w:jc w:val="both"/>
      </w:pPr>
    </w:p>
    <w:p>
      <w:pPr>
        <w:widowControl w:val="0"/>
        <w:numPr>
          <w:ilvl w:val="0"/>
          <w:numId w:val="0"/>
        </w:numPr>
        <w:tabs>
          <w:tab w:val="left" w:pos="1041"/>
        </w:tabs>
        <w:jc w:val="both"/>
      </w:pPr>
    </w:p>
    <w:p>
      <w:pPr>
        <w:widowControl w:val="0"/>
        <w:numPr>
          <w:ilvl w:val="0"/>
          <w:numId w:val="0"/>
        </w:numPr>
        <w:tabs>
          <w:tab w:val="left" w:pos="1041"/>
        </w:tabs>
        <w:jc w:val="both"/>
      </w:pPr>
    </w:p>
    <w:p/>
    <w:p>
      <w:pPr>
        <w:pStyle w:val="7"/>
        <w:numPr>
          <w:ilvl w:val="0"/>
          <w:numId w:val="2"/>
        </w:numPr>
        <w:ind w:firstLineChars="0"/>
        <w:rPr>
          <w:rFonts w:ascii="微软雅黑" w:hAnsi="微软雅黑" w:eastAsia="微软雅黑"/>
          <w:b/>
          <w:sz w:val="24"/>
          <w:szCs w:val="24"/>
        </w:rPr>
      </w:pPr>
      <w:r>
        <w:rPr>
          <w:rFonts w:hint="eastAsia" w:ascii="微软雅黑" w:hAnsi="微软雅黑" w:eastAsia="微软雅黑"/>
          <w:b/>
          <w:sz w:val="24"/>
          <w:szCs w:val="24"/>
        </w:rPr>
        <w:t>视频内容设计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3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5098" w:type="dxa"/>
          </w:tcPr>
          <w:p>
            <w:pPr>
              <w:jc w:val="center"/>
              <w:rPr>
                <w:rFonts w:ascii="微软雅黑" w:hAnsi="微软雅黑" w:eastAsia="微软雅黑"/>
                <w:b/>
                <w:szCs w:val="21"/>
              </w:rPr>
            </w:pPr>
            <w:r>
              <w:rPr>
                <w:rFonts w:hint="eastAsia" w:ascii="微软雅黑" w:hAnsi="微软雅黑" w:eastAsia="微软雅黑"/>
                <w:b/>
                <w:szCs w:val="21"/>
              </w:rPr>
              <w:t>讲解阐述</w:t>
            </w:r>
          </w:p>
        </w:tc>
        <w:tc>
          <w:tcPr>
            <w:tcW w:w="3198" w:type="dxa"/>
          </w:tcPr>
          <w:p>
            <w:pPr>
              <w:jc w:val="center"/>
              <w:rPr>
                <w:rFonts w:ascii="微软雅黑" w:hAnsi="微软雅黑" w:eastAsia="微软雅黑"/>
                <w:b/>
                <w:szCs w:val="21"/>
              </w:rPr>
            </w:pPr>
            <w:r>
              <w:rPr>
                <w:rFonts w:hint="eastAsia" w:ascii="微软雅黑" w:hAnsi="微软雅黑" w:eastAsia="微软雅黑"/>
                <w:b/>
                <w:szCs w:val="21"/>
              </w:rPr>
              <w:t>对应系统操作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5098" w:type="dxa"/>
          </w:tcPr>
          <w:p>
            <w:pPr>
              <w:pStyle w:val="7"/>
              <w:numPr>
                <w:ilvl w:val="0"/>
                <w:numId w:val="4"/>
              </w:numPr>
              <w:ind w:firstLineChars="0"/>
              <w:rPr>
                <w:rFonts w:ascii="微软雅黑" w:hAnsi="微软雅黑" w:eastAsia="微软雅黑"/>
                <w:sz w:val="18"/>
                <w:szCs w:val="18"/>
              </w:rPr>
            </w:pPr>
            <w:r>
              <w:rPr>
                <w:rFonts w:hint="eastAsia" w:ascii="微软雅黑" w:hAnsi="微软雅黑" w:eastAsia="微软雅黑"/>
                <w:sz w:val="18"/>
                <w:szCs w:val="18"/>
              </w:rPr>
              <w:t>各位朋友，大家好！</w:t>
            </w:r>
          </w:p>
          <w:p>
            <w:pPr>
              <w:pStyle w:val="7"/>
              <w:numPr>
                <w:ilvl w:val="0"/>
                <w:numId w:val="4"/>
              </w:numPr>
              <w:ind w:firstLineChars="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 xml:space="preserve">为了改善环境空气质量，认真落实党中央、国务院《打赢蓝天保卫战三年行动计划》以及贵州省《贵州省打赢蓝天保卫战三年行动计划》、《贵州省大气污染防治行动计划实施方案》的决策部署和要求，建立了贵州省大气环境管理系统。 </w:t>
            </w:r>
          </w:p>
          <w:p>
            <w:pPr>
              <w:pStyle w:val="7"/>
              <w:numPr>
                <w:ilvl w:val="0"/>
                <w:numId w:val="4"/>
              </w:numPr>
              <w:ind w:firstLineChars="0"/>
              <w:rPr>
                <w:rFonts w:hint="eastAsia" w:ascii="微软雅黑" w:hAnsi="微软雅黑" w:eastAsia="微软雅黑"/>
                <w:sz w:val="18"/>
                <w:szCs w:val="18"/>
                <w:lang w:eastAsia="zh-CN"/>
              </w:rPr>
            </w:pPr>
            <w:r>
              <w:rPr>
                <w:rFonts w:hint="eastAsia" w:ascii="微软雅黑" w:hAnsi="微软雅黑" w:eastAsia="微软雅黑"/>
                <w:sz w:val="18"/>
                <w:szCs w:val="18"/>
                <w:lang w:val="en-US" w:eastAsia="zh-CN"/>
              </w:rPr>
              <w:t>系统进入默认页面是全省质量状况，系统默认优先展示中心城市的日均值数据。页面中我们可以看到贵州的地图以及围绕在地图周围的表格，表格中是大气相关的数据，在这里我们可以查看中心城市以及区县的AQI指数以及排名，还可以在系统中查看未来三天的空气质量预报以及预测预报的情况；在中心城市前提下，点击地图中的市州，会出现该中心城市的具体数据，在这里我们可以看到该中心城市的污染物因子的具体数据以及该市州的AQI变化趋势和污染物浓度变化趋势；同时，可以点击市州当中的具体区县，会进入到区县的页面，在同样可以查看区县的AQI数据及变化趋势和相关污染物因子的数据及变化趋势。不仅如此，在该案系统中我们还可以查看小时值的数据，操作方式与日均值当中是一样的。</w:t>
            </w:r>
          </w:p>
          <w:p>
            <w:pPr>
              <w:pStyle w:val="7"/>
              <w:numPr>
                <w:ilvl w:val="0"/>
                <w:numId w:val="0"/>
              </w:numPr>
              <w:ind w:left="360" w:leftChars="0" w:hanging="360" w:hangingChars="200"/>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 xml:space="preserve">    当条件是日均值时，点击区县，会展示区县的相关数据；点击站点，会出现站点的相关数据。</w:t>
            </w:r>
          </w:p>
          <w:p>
            <w:pPr>
              <w:pStyle w:val="7"/>
              <w:numPr>
                <w:ilvl w:val="0"/>
                <w:numId w:val="4"/>
              </w:numPr>
              <w:ind w:left="360" w:leftChars="0" w:hanging="360" w:firstLineChars="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应急管控：</w:t>
            </w:r>
          </w:p>
          <w:p>
            <w:pPr>
              <w:pStyle w:val="7"/>
              <w:numPr>
                <w:numId w:val="0"/>
              </w:numPr>
              <w:ind w:left="357" w:leftChars="170" w:firstLine="0" w:firstLineChars="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应急管控分为两种情况：</w:t>
            </w:r>
          </w:p>
          <w:p>
            <w:pPr>
              <w:pStyle w:val="7"/>
              <w:numPr>
                <w:numId w:val="0"/>
              </w:numPr>
              <w:ind w:leftChars="17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①如果发生轻度和中度污染天气，市州用户会自己决定是不是启动应急管控，启动的话就会到系统里来填应急管控的进度。</w:t>
            </w:r>
          </w:p>
          <w:p>
            <w:pPr>
              <w:pStyle w:val="7"/>
              <w:numPr>
                <w:numId w:val="0"/>
              </w:numPr>
              <w:ind w:leftChars="17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②每个市州都会有一个应急管控的方案，系统将这个方案的内容存在系统里，当某项因子达到预警的条件时，系统会将市州应急管控中的处理解决方案列出，等到市州用户进行处理。在处理过程中会让市州用户进行上传文档，现场照片处理等等作为附件证明。</w:t>
            </w:r>
          </w:p>
          <w:p>
            <w:pPr>
              <w:pStyle w:val="7"/>
              <w:numPr>
                <w:numId w:val="0"/>
              </w:numPr>
              <w:ind w:leftChars="170"/>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管控情况跟踪就是对上生成的预警进行处理的情况反馈，在这里会让市州上传附件作为证明，并且每一次完成处理会自动生成上报日志，附件会存档在系统的管控文档里。</w:t>
            </w:r>
          </w:p>
          <w:p>
            <w:pPr>
              <w:pStyle w:val="7"/>
              <w:numPr>
                <w:ilvl w:val="0"/>
                <w:numId w:val="4"/>
              </w:numPr>
              <w:ind w:left="360" w:leftChars="0" w:hanging="360" w:firstLineChars="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工作任务管理：工作任务管理的话，就是大气总站会对每个市州下达一些工作任务，但是下达的时候有一个特点是这个工作任务的表格是可以自定义的，总站用户可以在我们系统里进行自定义，之后就下发给每个市州，然后每个市州去根据这个表格的内容去填他们的进展，填完之后可以上报给总站。</w:t>
            </w:r>
          </w:p>
          <w:p>
            <w:pPr>
              <w:pStyle w:val="7"/>
              <w:numPr>
                <w:numId w:val="0"/>
              </w:numPr>
              <w:ind w:leftChars="0"/>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 xml:space="preserve">  总站在工作任务管理中进行任务下发，任务的情况由总站自主进行编写。下发之后等待市州用户完成，然后总站可以在台账这里查看完成情况，在查看任务的时候可以点击任务名称查看具体完成的情况说明，以及完成的支撑材料，总站认为已经完成那么总站就可以对任务进行完成处理。总站可以在跟踪管理里面查看任务的完成进度。每一次任务在完成之后都会自动生成日志，方便以后进行查询。</w:t>
            </w:r>
          </w:p>
        </w:tc>
        <w:tc>
          <w:tcPr>
            <w:tcW w:w="3198" w:type="dxa"/>
          </w:tcPr>
          <w:p>
            <w:pPr>
              <w:pStyle w:val="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页面停留在登录页。</w:t>
            </w:r>
          </w:p>
          <w:p>
            <w:pPr>
              <w:pStyle w:val="7"/>
              <w:numPr>
                <w:ilvl w:val="0"/>
                <w:numId w:val="5"/>
              </w:numPr>
              <w:ind w:firstLineChars="0"/>
              <w:rPr>
                <w:rFonts w:ascii="微软雅黑" w:hAnsi="微软雅黑" w:eastAsia="微软雅黑"/>
                <w:sz w:val="18"/>
                <w:szCs w:val="18"/>
              </w:rPr>
            </w:pPr>
            <w:r>
              <w:rPr>
                <w:rFonts w:hint="eastAsia" w:ascii="微软雅黑" w:hAnsi="微软雅黑" w:eastAsia="微软雅黑"/>
                <w:sz w:val="18"/>
                <w:szCs w:val="18"/>
              </w:rPr>
              <w:t>边讲解边输入用户名及密码进行登录系统的操作。页面停留在系统首页。</w:t>
            </w:r>
          </w:p>
          <w:p>
            <w:pPr>
              <w:rPr>
                <w:rFonts w:ascii="微软雅黑" w:hAnsi="微软雅黑" w:eastAsia="微软雅黑"/>
                <w:sz w:val="18"/>
                <w:szCs w:val="18"/>
              </w:rPr>
            </w:pPr>
          </w:p>
          <w:p>
            <w:pPr>
              <w:rPr>
                <w:rFonts w:ascii="微软雅黑" w:hAnsi="微软雅黑" w:eastAsia="微软雅黑"/>
                <w:sz w:val="18"/>
                <w:szCs w:val="18"/>
              </w:rPr>
            </w:pPr>
          </w:p>
          <w:p>
            <w:pPr>
              <w:pStyle w:val="7"/>
              <w:widowControl w:val="0"/>
              <w:numPr>
                <w:ilvl w:val="0"/>
                <w:numId w:val="0"/>
              </w:numPr>
              <w:jc w:val="both"/>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3、点击地图中的具体市州，停留；点击市州中的具体区县，停留。点击全省返回，点击区县，在点击站点。</w:t>
            </w:r>
          </w:p>
          <w:p>
            <w:pPr>
              <w:pStyle w:val="7"/>
              <w:widowControl w:val="0"/>
              <w:numPr>
                <w:ilvl w:val="0"/>
                <w:numId w:val="0"/>
              </w:numPr>
              <w:jc w:val="both"/>
              <w:rPr>
                <w:rFonts w:hint="default" w:ascii="微软雅黑" w:hAnsi="微软雅黑" w:eastAsia="微软雅黑"/>
                <w:sz w:val="18"/>
                <w:szCs w:val="18"/>
                <w:lang w:val="en-US" w:eastAsia="zh-CN"/>
              </w:rPr>
            </w:pPr>
          </w:p>
          <w:p>
            <w:pPr>
              <w:pStyle w:val="7"/>
              <w:widowControl w:val="0"/>
              <w:numPr>
                <w:ilvl w:val="0"/>
                <w:numId w:val="0"/>
              </w:numPr>
              <w:jc w:val="both"/>
              <w:rPr>
                <w:rFonts w:hint="default" w:ascii="微软雅黑" w:hAnsi="微软雅黑" w:eastAsia="微软雅黑"/>
                <w:sz w:val="18"/>
                <w:szCs w:val="18"/>
                <w:lang w:val="en-US" w:eastAsia="zh-CN"/>
              </w:rPr>
            </w:pPr>
          </w:p>
          <w:p>
            <w:pPr>
              <w:pStyle w:val="7"/>
              <w:numPr>
                <w:ilvl w:val="0"/>
                <w:numId w:val="0"/>
              </w:numPr>
              <w:ind w:left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p>
          <w:p>
            <w:pPr>
              <w:pStyle w:val="7"/>
              <w:numPr>
                <w:ilvl w:val="0"/>
                <w:numId w:val="0"/>
              </w:numPr>
              <w:ind w:leftChars="0"/>
              <w:rPr>
                <w:rFonts w:ascii="微软雅黑" w:hAnsi="微软雅黑" w:eastAsia="微软雅黑"/>
                <w:sz w:val="18"/>
                <w:szCs w:val="18"/>
              </w:rPr>
            </w:pPr>
          </w:p>
          <w:p>
            <w:pPr>
              <w:pStyle w:val="7"/>
              <w:numPr>
                <w:ilvl w:val="0"/>
                <w:numId w:val="5"/>
              </w:numPr>
              <w:ind w:left="360" w:leftChars="0" w:hanging="360" w:firstLineChars="0"/>
              <w:rPr>
                <w:rFonts w:hint="eastAsia" w:ascii="微软雅黑" w:hAnsi="微软雅黑" w:eastAsia="微软雅黑"/>
                <w:sz w:val="18"/>
                <w:szCs w:val="18"/>
                <w:lang w:val="en-US" w:eastAsia="zh-CN"/>
              </w:rPr>
            </w:pPr>
            <w:r>
              <w:rPr>
                <w:rFonts w:hint="eastAsia" w:ascii="微软雅黑" w:hAnsi="微软雅黑" w:eastAsia="微软雅黑"/>
                <w:sz w:val="18"/>
                <w:szCs w:val="18"/>
                <w:lang w:val="en-US" w:eastAsia="zh-CN"/>
              </w:rPr>
              <w:t>点击应急管控中的双预警机制，进行讲解。，点击管控情况跟踪，再点击上报日志，随后点击管控文档管理。</w:t>
            </w:r>
          </w:p>
          <w:p>
            <w:pPr>
              <w:pStyle w:val="7"/>
              <w:widowControl w:val="0"/>
              <w:numPr>
                <w:numId w:val="0"/>
              </w:numPr>
              <w:jc w:val="both"/>
              <w:rPr>
                <w:rFonts w:hint="default" w:ascii="微软雅黑" w:hAnsi="微软雅黑" w:eastAsia="微软雅黑"/>
                <w:sz w:val="18"/>
                <w:szCs w:val="18"/>
                <w:lang w:val="en-US" w:eastAsia="zh-CN"/>
              </w:rPr>
            </w:pPr>
          </w:p>
          <w:p>
            <w:pPr>
              <w:pStyle w:val="7"/>
              <w:widowControl w:val="0"/>
              <w:numPr>
                <w:numId w:val="0"/>
              </w:numPr>
              <w:jc w:val="both"/>
              <w:rPr>
                <w:rFonts w:hint="default" w:ascii="微软雅黑" w:hAnsi="微软雅黑" w:eastAsia="微软雅黑"/>
                <w:sz w:val="18"/>
                <w:szCs w:val="18"/>
                <w:lang w:val="en-US" w:eastAsia="zh-CN"/>
              </w:rPr>
            </w:pPr>
          </w:p>
          <w:p>
            <w:pPr>
              <w:pStyle w:val="7"/>
              <w:widowControl w:val="0"/>
              <w:numPr>
                <w:numId w:val="0"/>
              </w:numPr>
              <w:jc w:val="both"/>
              <w:rPr>
                <w:rFonts w:hint="default" w:ascii="微软雅黑" w:hAnsi="微软雅黑" w:eastAsia="微软雅黑"/>
                <w:sz w:val="18"/>
                <w:szCs w:val="18"/>
                <w:lang w:val="en-US" w:eastAsia="zh-CN"/>
              </w:rPr>
            </w:pPr>
          </w:p>
          <w:p>
            <w:pPr>
              <w:pStyle w:val="7"/>
              <w:widowControl w:val="0"/>
              <w:numPr>
                <w:numId w:val="0"/>
              </w:numPr>
              <w:jc w:val="both"/>
              <w:rPr>
                <w:rFonts w:hint="default" w:ascii="微软雅黑" w:hAnsi="微软雅黑" w:eastAsia="微软雅黑"/>
                <w:sz w:val="18"/>
                <w:szCs w:val="18"/>
                <w:lang w:val="en-US" w:eastAsia="zh-CN"/>
              </w:rPr>
            </w:pPr>
          </w:p>
          <w:p>
            <w:pPr>
              <w:pStyle w:val="7"/>
              <w:widowControl w:val="0"/>
              <w:numPr>
                <w:numId w:val="0"/>
              </w:numPr>
              <w:jc w:val="both"/>
              <w:rPr>
                <w:rFonts w:hint="default" w:ascii="微软雅黑" w:hAnsi="微软雅黑" w:eastAsia="微软雅黑"/>
                <w:sz w:val="18"/>
                <w:szCs w:val="18"/>
                <w:lang w:val="en-US" w:eastAsia="zh-CN"/>
              </w:rPr>
            </w:pPr>
          </w:p>
          <w:p>
            <w:pPr>
              <w:pStyle w:val="7"/>
              <w:widowControl w:val="0"/>
              <w:numPr>
                <w:numId w:val="0"/>
              </w:numPr>
              <w:jc w:val="both"/>
              <w:rPr>
                <w:rFonts w:hint="default" w:ascii="微软雅黑" w:hAnsi="微软雅黑" w:eastAsia="微软雅黑"/>
                <w:sz w:val="18"/>
                <w:szCs w:val="18"/>
                <w:lang w:val="en-US" w:eastAsia="zh-CN"/>
              </w:rPr>
            </w:pPr>
          </w:p>
          <w:p>
            <w:pPr>
              <w:pStyle w:val="7"/>
              <w:widowControl w:val="0"/>
              <w:numPr>
                <w:numId w:val="0"/>
              </w:numPr>
              <w:jc w:val="both"/>
              <w:rPr>
                <w:rFonts w:hint="default" w:ascii="微软雅黑" w:hAnsi="微软雅黑" w:eastAsia="微软雅黑"/>
                <w:sz w:val="18"/>
                <w:szCs w:val="18"/>
                <w:lang w:val="en-US" w:eastAsia="zh-CN"/>
              </w:rPr>
            </w:pPr>
          </w:p>
          <w:p>
            <w:pPr>
              <w:pStyle w:val="7"/>
              <w:widowControl w:val="0"/>
              <w:numPr>
                <w:numId w:val="0"/>
              </w:numPr>
              <w:jc w:val="both"/>
              <w:rPr>
                <w:rFonts w:hint="default" w:ascii="微软雅黑" w:hAnsi="微软雅黑" w:eastAsia="微软雅黑"/>
                <w:sz w:val="18"/>
                <w:szCs w:val="18"/>
                <w:lang w:val="en-US" w:eastAsia="zh-CN"/>
              </w:rPr>
            </w:pPr>
          </w:p>
          <w:p>
            <w:pPr>
              <w:pStyle w:val="7"/>
              <w:widowControl w:val="0"/>
              <w:numPr>
                <w:numId w:val="0"/>
              </w:numPr>
              <w:jc w:val="both"/>
              <w:rPr>
                <w:rFonts w:hint="default" w:ascii="微软雅黑" w:hAnsi="微软雅黑" w:eastAsia="微软雅黑"/>
                <w:sz w:val="18"/>
                <w:szCs w:val="18"/>
                <w:lang w:val="en-US" w:eastAsia="zh-CN"/>
              </w:rPr>
            </w:pPr>
          </w:p>
          <w:p>
            <w:pPr>
              <w:pStyle w:val="7"/>
              <w:widowControl w:val="0"/>
              <w:numPr>
                <w:numId w:val="0"/>
              </w:numPr>
              <w:jc w:val="both"/>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5、点击日常工作管理，进行讲解，点击工作台账管理讲解，点击下发任务进度跟踪，点击上报日志。</w:t>
            </w:r>
          </w:p>
        </w:tc>
      </w:tr>
    </w:tbl>
    <w:p>
      <w:pPr>
        <w:rPr>
          <w:rFonts w:ascii="微软雅黑" w:hAnsi="微软雅黑" w:eastAsia="微软雅黑"/>
          <w:b/>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3A5FA"/>
    <w:multiLevelType w:val="multilevel"/>
    <w:tmpl w:val="9933A5FA"/>
    <w:lvl w:ilvl="0" w:tentative="0">
      <w:start w:val="1"/>
      <w:numFmt w:val="chineseCounting"/>
      <w:lvlText w:val="%1、"/>
      <w:lvlJc w:val="left"/>
      <w:pPr>
        <w:tabs>
          <w:tab w:val="left" w:pos="432"/>
        </w:tabs>
        <w:ind w:left="432" w:hanging="432"/>
      </w:pPr>
      <w:rPr>
        <w:rFonts w:hint="eastAsia" w:ascii="宋体" w:hAnsi="宋体" w:eastAsia="宋体" w:cs="宋体"/>
      </w:rPr>
    </w:lvl>
    <w:lvl w:ilvl="1" w:tentative="0">
      <w:start w:val="1"/>
      <w:numFmt w:val="decimal"/>
      <w:pStyle w:val="2"/>
      <w:lvlText w:val="%2"/>
      <w:lvlJc w:val="left"/>
      <w:pPr>
        <w:tabs>
          <w:tab w:val="left" w:pos="576"/>
        </w:tabs>
        <w:ind w:left="576" w:hanging="576"/>
      </w:pPr>
      <w:rPr>
        <w:rFonts w:hint="eastAsia" w:ascii="宋体" w:hAnsi="宋体" w:eastAsia="宋体" w:cs="宋体"/>
        <w:sz w:val="32"/>
      </w:rPr>
    </w:lvl>
    <w:lvl w:ilvl="2" w:tentative="0">
      <w:start w:val="1"/>
      <w:numFmt w:val="decimal"/>
      <w:lvlText w:val="%2.%3"/>
      <w:lvlJc w:val="left"/>
      <w:pPr>
        <w:tabs>
          <w:tab w:val="left" w:pos="720"/>
        </w:tabs>
        <w:ind w:left="720" w:hanging="720"/>
      </w:pPr>
      <w:rPr>
        <w:rFonts w:hint="eastAsia" w:ascii="宋体" w:hAnsi="宋体" w:eastAsia="宋体" w:cs="宋体"/>
        <w:color w:val="auto"/>
      </w:rPr>
    </w:lvl>
    <w:lvl w:ilvl="3" w:tentative="0">
      <w:start w:val="1"/>
      <w:numFmt w:val="decimal"/>
      <w:lvlText w:val="%2.%3.%4"/>
      <w:lvlJc w:val="left"/>
      <w:pPr>
        <w:tabs>
          <w:tab w:val="left" w:pos="864"/>
        </w:tabs>
        <w:ind w:left="864" w:hanging="864"/>
      </w:pPr>
      <w:rPr>
        <w:rFonts w:hint="eastAsia" w:ascii="宋体" w:hAnsi="宋体" w:eastAsia="宋体" w:cs="宋体"/>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A9C6B164"/>
    <w:multiLevelType w:val="singleLevel"/>
    <w:tmpl w:val="A9C6B164"/>
    <w:lvl w:ilvl="0" w:tentative="0">
      <w:start w:val="2"/>
      <w:numFmt w:val="decimal"/>
      <w:suff w:val="nothing"/>
      <w:lvlText w:val="%1、"/>
      <w:lvlJc w:val="left"/>
    </w:lvl>
  </w:abstractNum>
  <w:abstractNum w:abstractNumId="2">
    <w:nsid w:val="01FC5612"/>
    <w:multiLevelType w:val="multilevel"/>
    <w:tmpl w:val="01FC561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7D33DB8"/>
    <w:multiLevelType w:val="multilevel"/>
    <w:tmpl w:val="17D33D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3F07023"/>
    <w:multiLevelType w:val="multilevel"/>
    <w:tmpl w:val="23F07023"/>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C73"/>
    <w:rsid w:val="002434C0"/>
    <w:rsid w:val="00423DEA"/>
    <w:rsid w:val="004475C6"/>
    <w:rsid w:val="00477EF0"/>
    <w:rsid w:val="005152E3"/>
    <w:rsid w:val="0069751B"/>
    <w:rsid w:val="00A86625"/>
    <w:rsid w:val="00AD2887"/>
    <w:rsid w:val="00AF0C73"/>
    <w:rsid w:val="00B53BD3"/>
    <w:rsid w:val="00B65F4B"/>
    <w:rsid w:val="00B81FC5"/>
    <w:rsid w:val="00E24126"/>
    <w:rsid w:val="03A40F35"/>
    <w:rsid w:val="07EB0BA1"/>
    <w:rsid w:val="22425123"/>
    <w:rsid w:val="266129E4"/>
    <w:rsid w:val="38F77B4F"/>
    <w:rsid w:val="50A4106C"/>
    <w:rsid w:val="52563496"/>
    <w:rsid w:val="58C54A35"/>
    <w:rsid w:val="64AB45CC"/>
    <w:rsid w:val="68EB75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keepNext/>
      <w:keepLines/>
      <w:numPr>
        <w:ilvl w:val="1"/>
        <w:numId w:val="1"/>
      </w:numPr>
      <w:spacing w:after="260" w:line="360" w:lineRule="auto"/>
      <w:ind w:left="576" w:leftChars="0" w:rightChars="100" w:hanging="576"/>
      <w:outlineLvl w:val="1"/>
    </w:pPr>
    <w:rPr>
      <w:rFonts w:ascii="Arial" w:hAnsi="Arial" w:eastAsia="宋体"/>
      <w:b/>
      <w:bCs/>
      <w:sz w:val="32"/>
      <w:szCs w:val="32"/>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381</Words>
  <Characters>2178</Characters>
  <Lines>18</Lines>
  <Paragraphs>5</Paragraphs>
  <TotalTime>122</TotalTime>
  <ScaleCrop>false</ScaleCrop>
  <LinksUpToDate>false</LinksUpToDate>
  <CharactersWithSpaces>2554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2021-05-12T01:03:00Z</dcterms:created>
  <dc:creator>Xu Peng</dc:creator>
  <cp:lastModifiedBy>大奉</cp:lastModifiedBy>
  <dcterms:modified xsi:type="dcterms:W3CDTF">2021-05-15T02:34:21Z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ACDAF59E71064CE99A632593FC19E97D</vt:lpwstr>
  </property>
</Properties>
</file>